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8B" w:rsidRPr="003E618B" w:rsidRDefault="003E618B" w:rsidP="003E618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E61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2"/>
      </w:tblGrid>
      <w:tr w:rsidR="003E618B" w:rsidRPr="003E618B" w:rsidTr="003E61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618B" w:rsidRPr="003E618B" w:rsidRDefault="003E618B" w:rsidP="003E618B">
            <w:pPr>
              <w:spacing w:after="0" w:line="293" w:lineRule="atLeast"/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lang w:eastAsia="ru-RU"/>
              </w:rPr>
            </w:pPr>
            <w:r w:rsidRPr="003E618B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lang w:eastAsia="ru-RU"/>
              </w:rPr>
              <w:t>Федеральный закон от 29.12.2012 N 273-ФЗ (редакция от 02.03.2016)</w:t>
            </w:r>
            <w:r w:rsidRPr="003E618B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lang w:eastAsia="ru-RU"/>
              </w:rPr>
              <w:br/>
              <w:t>"Об образовании в Российской Федерации"</w:t>
            </w:r>
          </w:p>
          <w:p w:rsidR="003E618B" w:rsidRPr="003E618B" w:rsidRDefault="003E618B" w:rsidP="003E618B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1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 действующий</w:t>
            </w:r>
          </w:p>
        </w:tc>
      </w:tr>
    </w:tbl>
    <w:p w:rsidR="003E618B" w:rsidRPr="003E618B" w:rsidRDefault="003E618B" w:rsidP="003E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8B" w:rsidRPr="003E618B" w:rsidRDefault="003E618B" w:rsidP="003E618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3E61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Глава 1. Общие положения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61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s2RwgHJY8W1J"/>
      <w:bookmarkEnd w:id="0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Глава 1. ОБЩИЕ ПОЛОЖЕНИЯ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1" w:name="XglwkekqOs10"/>
      <w:bookmarkEnd w:id="1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1. Предмет регулирования настоящего Федерального закона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2" w:name="4ywWxJjZDIoK"/>
      <w:bookmarkEnd w:id="2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2. Основные понятия, используемые в настоящем Федеральном законе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Для целей настоящего Федерального закона применяются следующие основные понятия: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компетенции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</w:t>
      </w: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обучения по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12) профессиональное образование - вид образования, который направлен на приобретение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обучающимися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13) профессиональное обучение - вид образования, который направлен на приобретение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обучающимися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15)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обучающийся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- физическое лицо, осваивающее образовательную программу;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16)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обучающийся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17) образовательная деятельность - деятельность по реализации образовательных программ;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</w:t>
      </w: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отношениями и целью которых является создание условий для реализации прав граждан на образование;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3" w:name="nlsxczKGLJUL"/>
      <w:bookmarkEnd w:id="3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признание приоритетности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10)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демократический характер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11) недопустимость ограничения или устранения конкуренции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4" w:name="mTe9Y6H78M5T"/>
      <w:bookmarkEnd w:id="4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4. Правовое регулирование отношений в сфере образования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</w:t>
      </w: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3. Основными задачами правового регулирования отношений в сфере образования являются: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обеспечение и защита конституционного права граждан Российской Федерации на образование;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создание правовых гарантий для согласования интересов участников отношений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определение правового положения участников отношений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4.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5.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6. В случае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8.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 и осуществляющих образовательную деятельность, применяется с учетом особенностей, установленных специальными федеральными законами.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5" w:name="5gMyt7x1EKmR"/>
      <w:bookmarkEnd w:id="5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В Российской Федерации гарантируется право каждого человека на образование.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6" w:name="2iOuYNa5Qqof"/>
      <w:bookmarkEnd w:id="6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6. Полномочия федеральных органов государственной власти в сфере образования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К полномочиям федеральных органов государственной власти в сфере образования относятся: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разработка и проведение единой государственной политики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лицензирование образовательной деятельности: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а) организаций, осуществляющих образовательную деятельность по образовательным программам высшего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9) государственный контроль (надзор) в сфере образования за деятельностью организаций, указанных в пункте 7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13) обеспечение осуществления мониторинга в системе образования на федеральном уровне;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7" w:name="L8PbPUEp5VZT"/>
      <w:bookmarkEnd w:id="7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подтверждение документов об образовании и (или) о квалификации.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2.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Финансовое обеспечение осуществления переданных полномочий, за исключением полномочий, указанных в части 10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бюджет субъекта Российской Федерации в соответствии с Бюджетным кодексом Российской Федерации.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из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дств в п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орядке, установленном бюджетным законодательством Российской Федерации.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7. Федеральный орган исполнительной власти, осуществляющий функции по контролю и надзору в сфере образования: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части 1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в) информации (в том числе баз данных), необходимой для формирования и ведения федеральных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баз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данных по вопросам контроля и надзора в сфере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имеет право до принятия нормативных правовых актов, указанных в пункте 1 части 6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9.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10.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кодексом Российской Федерации.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8" w:name="GX9n4INIgLR"/>
      <w:bookmarkEnd w:id="8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Статья 8. Полномочия органов государственной власти субъектов Российской Федерации в сфере образования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1. К полномочиям органов государственной власти субъектов Российской Федерации в сфере образования относятся: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содержание зданий и оплату коммунальных услуг), в соответствии с нормативами, указанными в пункте 3 настоящей части;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11) обеспечение осуществления мониторинга в системе образования на уровне субъектов Российской Федерации;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12) организация предоставления психолого-педагогической, медицинской и социальной помощи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обучающимся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12.1)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13) осуществление иных установленных настоящим Федеральным законом полномочий в сфере образования.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2.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  <w:proofErr w:type="gramEnd"/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9" w:name="uzqFQfUuOjQJ"/>
      <w:bookmarkEnd w:id="9"/>
      <w:r w:rsidRPr="003E61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3E618B" w:rsidRPr="003E618B" w:rsidRDefault="003E618B" w:rsidP="003E618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6) учет детей, подлежащих </w:t>
      </w:r>
      <w:proofErr w:type="gramStart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обучению по</w:t>
      </w:r>
      <w:proofErr w:type="gramEnd"/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7) осуществление иных установленных настоящим Федеральным законом полномочий в сфере образования.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3E618B" w:rsidRPr="003E618B" w:rsidRDefault="003E618B" w:rsidP="003E618B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E61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CC0792" w:rsidRDefault="00CC0792"/>
    <w:sectPr w:rsidR="00CC0792" w:rsidSect="00CC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8B"/>
    <w:rsid w:val="003E618B"/>
    <w:rsid w:val="00C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92"/>
  </w:style>
  <w:style w:type="paragraph" w:styleId="1">
    <w:name w:val="heading 1"/>
    <w:basedOn w:val="a"/>
    <w:link w:val="10"/>
    <w:uiPriority w:val="9"/>
    <w:qFormat/>
    <w:rsid w:val="003E6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61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61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61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618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title">
    <w:name w:val="ptitle"/>
    <w:basedOn w:val="a"/>
    <w:rsid w:val="003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095">
          <w:marLeft w:val="-3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6245</Words>
  <Characters>35598</Characters>
  <Application>Microsoft Office Word</Application>
  <DocSecurity>0</DocSecurity>
  <Lines>296</Lines>
  <Paragraphs>83</Paragraphs>
  <ScaleCrop>false</ScaleCrop>
  <Company/>
  <LinksUpToDate>false</LinksUpToDate>
  <CharactersWithSpaces>41760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2016-04-23T11:04:00Z</dcterms:created>
  <dcterms:modified xsi:type="dcterms:W3CDTF">2016-04-23T11:05:00Z</dcterms:modified>
</cp:coreProperties>
</file>